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F71AF">
      <w:pPr>
        <w:spacing w:before="101" w:line="212" w:lineRule="auto"/>
        <w:ind w:left="2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8"/>
          <w:sz w:val="31"/>
          <w:szCs w:val="31"/>
          <w:lang w:val="en-US" w:eastAsia="zh-CN"/>
        </w:rPr>
        <w:t>1</w:t>
      </w:r>
    </w:p>
    <w:p w14:paraId="6639A0FF">
      <w:pPr>
        <w:pStyle w:val="2"/>
        <w:spacing w:before="155" w:line="209" w:lineRule="auto"/>
        <w:ind w:left="1050"/>
        <w:outlineLvl w:val="2"/>
        <w:rPr>
          <w:sz w:val="36"/>
          <w:szCs w:val="36"/>
        </w:rPr>
      </w:pPr>
      <w:r>
        <w:rPr>
          <w:spacing w:val="-4"/>
          <w:sz w:val="36"/>
          <w:szCs w:val="36"/>
        </w:rPr>
        <w:t>全省高校教职工网络法治素养培训参与方式</w:t>
      </w:r>
    </w:p>
    <w:p w14:paraId="66336DFE">
      <w:pPr>
        <w:spacing w:line="261" w:lineRule="auto"/>
        <w:rPr>
          <w:rFonts w:ascii="Arial"/>
          <w:sz w:val="21"/>
        </w:rPr>
      </w:pPr>
    </w:p>
    <w:p w14:paraId="500884DA">
      <w:pPr>
        <w:spacing w:line="262" w:lineRule="auto"/>
        <w:rPr>
          <w:rFonts w:ascii="Arial"/>
          <w:sz w:val="21"/>
        </w:rPr>
      </w:pPr>
    </w:p>
    <w:p w14:paraId="482C417B">
      <w:pPr>
        <w:spacing w:before="101" w:line="214" w:lineRule="auto"/>
        <w:ind w:left="9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一、培训时间</w:t>
      </w:r>
    </w:p>
    <w:p w14:paraId="27F569D5">
      <w:pPr>
        <w:spacing w:before="194" w:line="324" w:lineRule="auto"/>
        <w:ind w:left="16" w:firstLine="62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Arial" w:hAnsi="Arial" w:eastAsia="Arial" w:cs="Arial"/>
          <w:spacing w:val="-11"/>
          <w:sz w:val="31"/>
          <w:szCs w:val="31"/>
        </w:rPr>
        <w:t>2025</w:t>
      </w:r>
      <w:r>
        <w:rPr>
          <w:rFonts w:ascii="仿宋" w:hAnsi="仿宋" w:eastAsia="仿宋" w:cs="仿宋"/>
          <w:spacing w:val="-11"/>
          <w:sz w:val="31"/>
          <w:szCs w:val="31"/>
        </w:rPr>
        <w:t>年</w:t>
      </w:r>
      <w:r>
        <w:rPr>
          <w:rFonts w:ascii="Arial" w:hAnsi="Arial" w:eastAsia="Arial" w:cs="Arial"/>
          <w:spacing w:val="-11"/>
          <w:sz w:val="31"/>
          <w:szCs w:val="31"/>
        </w:rPr>
        <w:t>5</w:t>
      </w:r>
      <w:r>
        <w:rPr>
          <w:rFonts w:ascii="仿宋" w:hAnsi="仿宋" w:eastAsia="仿宋" w:cs="仿宋"/>
          <w:spacing w:val="-11"/>
          <w:sz w:val="31"/>
          <w:szCs w:val="31"/>
        </w:rPr>
        <w:t>月</w:t>
      </w:r>
      <w:r>
        <w:rPr>
          <w:rFonts w:ascii="Arial" w:hAnsi="Arial" w:eastAsia="Arial" w:cs="Arial"/>
          <w:spacing w:val="-11"/>
          <w:sz w:val="31"/>
          <w:szCs w:val="31"/>
        </w:rPr>
        <w:t>21</w:t>
      </w:r>
      <w:r>
        <w:rPr>
          <w:rFonts w:ascii="仿宋" w:hAnsi="仿宋" w:eastAsia="仿宋" w:cs="仿宋"/>
          <w:spacing w:val="-11"/>
          <w:sz w:val="31"/>
          <w:szCs w:val="31"/>
        </w:rPr>
        <w:t>日</w:t>
      </w:r>
      <w:r>
        <w:rPr>
          <w:rFonts w:ascii="Arial" w:hAnsi="Arial" w:eastAsia="Arial" w:cs="Arial"/>
          <w:spacing w:val="-11"/>
          <w:sz w:val="31"/>
          <w:szCs w:val="31"/>
        </w:rPr>
        <w:t>-27</w:t>
      </w:r>
      <w:r>
        <w:rPr>
          <w:rFonts w:ascii="仿宋" w:hAnsi="仿宋" w:eastAsia="仿宋" w:cs="仿宋"/>
          <w:spacing w:val="-11"/>
          <w:sz w:val="31"/>
          <w:szCs w:val="31"/>
        </w:rPr>
        <w:t>日（共</w:t>
      </w:r>
      <w:r>
        <w:rPr>
          <w:rFonts w:ascii="Arial" w:hAnsi="Arial" w:eastAsia="Arial" w:cs="Arial"/>
          <w:spacing w:val="-11"/>
          <w:sz w:val="31"/>
          <w:szCs w:val="31"/>
        </w:rPr>
        <w:t>7</w:t>
      </w:r>
      <w:r>
        <w:rPr>
          <w:rFonts w:ascii="仿宋" w:hAnsi="仿宋" w:eastAsia="仿宋" w:cs="仿宋"/>
          <w:spacing w:val="-11"/>
          <w:sz w:val="31"/>
          <w:szCs w:val="31"/>
        </w:rPr>
        <w:t>天</w:t>
      </w:r>
      <w:r>
        <w:rPr>
          <w:rFonts w:ascii="仿宋" w:hAnsi="仿宋" w:eastAsia="仿宋" w:cs="仿宋"/>
          <w:spacing w:val="1"/>
          <w:sz w:val="31"/>
          <w:szCs w:val="31"/>
        </w:rPr>
        <w:t>），</w:t>
      </w:r>
      <w:r>
        <w:rPr>
          <w:rFonts w:ascii="仿宋" w:hAnsi="仿宋" w:eastAsia="仿宋" w:cs="仿宋"/>
          <w:spacing w:val="-11"/>
          <w:sz w:val="31"/>
          <w:szCs w:val="31"/>
        </w:rPr>
        <w:t>每天下午</w:t>
      </w:r>
      <w:r>
        <w:rPr>
          <w:rFonts w:ascii="Arial" w:hAnsi="Arial" w:eastAsia="Arial" w:cs="Arial"/>
          <w:spacing w:val="-11"/>
          <w:sz w:val="31"/>
          <w:szCs w:val="31"/>
        </w:rPr>
        <w:t>17:00-17:30</w:t>
      </w:r>
      <w:r>
        <w:rPr>
          <w:rFonts w:ascii="仿宋" w:hAnsi="仿宋" w:eastAsia="仿宋" w:cs="仿宋"/>
          <w:spacing w:val="2"/>
          <w:sz w:val="31"/>
          <w:szCs w:val="31"/>
        </w:rPr>
        <w:t>通过网络直播形式开展公益讲座，直播结束后将提供</w:t>
      </w:r>
      <w:r>
        <w:rPr>
          <w:rFonts w:ascii="Arial" w:hAnsi="Arial" w:eastAsia="Arial" w:cs="Arial"/>
          <w:spacing w:val="2"/>
          <w:sz w:val="31"/>
          <w:szCs w:val="31"/>
        </w:rPr>
        <w:t>5</w:t>
      </w:r>
      <w:r>
        <w:rPr>
          <w:rFonts w:ascii="仿宋" w:hAnsi="仿宋" w:eastAsia="仿宋" w:cs="仿宋"/>
          <w:spacing w:val="2"/>
          <w:sz w:val="31"/>
          <w:szCs w:val="31"/>
        </w:rPr>
        <w:t>日回放功</w:t>
      </w:r>
      <w:r>
        <w:rPr>
          <w:rFonts w:ascii="仿宋" w:hAnsi="仿宋" w:eastAsia="仿宋" w:cs="仿宋"/>
          <w:spacing w:val="-3"/>
          <w:sz w:val="31"/>
          <w:szCs w:val="31"/>
        </w:rPr>
        <w:t>能。培训参与方式详见全国青少年普法网（</w:t>
      </w:r>
      <w:r>
        <w:rPr>
          <w:rFonts w:ascii="Arial" w:hAnsi="Arial" w:eastAsia="Arial" w:cs="Arial"/>
          <w:spacing w:val="-3"/>
          <w:sz w:val="31"/>
          <w:szCs w:val="31"/>
        </w:rPr>
        <w:t>qspfw.moe.gov.cn</w:t>
      </w:r>
      <w:r>
        <w:rPr>
          <w:rFonts w:ascii="仿宋" w:hAnsi="仿宋" w:eastAsia="仿宋" w:cs="仿宋"/>
          <w:spacing w:val="-3"/>
          <w:sz w:val="31"/>
          <w:szCs w:val="31"/>
        </w:rPr>
        <w:t>）。</w:t>
      </w:r>
      <w:r>
        <w:rPr>
          <w:rFonts w:ascii="仿宋" w:hAnsi="仿宋" w:eastAsia="仿宋" w:cs="仿宋"/>
          <w:spacing w:val="5"/>
          <w:sz w:val="31"/>
          <w:szCs w:val="31"/>
        </w:rPr>
        <w:t>后续将根据本次培训直播参训情况，适时安排下阶段培训。</w:t>
      </w:r>
    </w:p>
    <w:p w14:paraId="7CB6B640">
      <w:pPr>
        <w:spacing w:before="70" w:line="21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二、课程内容</w:t>
      </w:r>
    </w:p>
    <w:p w14:paraId="6EAE4167">
      <w:pPr>
        <w:spacing w:line="21" w:lineRule="exact"/>
      </w:pPr>
    </w:p>
    <w:tbl>
      <w:tblPr>
        <w:tblStyle w:val="7"/>
        <w:tblW w:w="87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4570"/>
        <w:gridCol w:w="3748"/>
      </w:tblGrid>
      <w:tr w14:paraId="745A9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449" w:type="dxa"/>
            <w:vAlign w:val="top"/>
          </w:tcPr>
          <w:p w14:paraId="25ECE4FE">
            <w:pPr>
              <w:rPr>
                <w:rFonts w:ascii="Arial"/>
                <w:sz w:val="21"/>
              </w:rPr>
            </w:pPr>
          </w:p>
        </w:tc>
        <w:tc>
          <w:tcPr>
            <w:tcW w:w="4570" w:type="dxa"/>
            <w:vAlign w:val="top"/>
          </w:tcPr>
          <w:p w14:paraId="61AA7A4A">
            <w:pPr>
              <w:spacing w:before="188" w:line="211" w:lineRule="auto"/>
              <w:ind w:left="182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-5"/>
                <w:sz w:val="31"/>
                <w:szCs w:val="31"/>
              </w:rPr>
              <w:t>主题</w:t>
            </w:r>
          </w:p>
        </w:tc>
        <w:tc>
          <w:tcPr>
            <w:tcW w:w="3748" w:type="dxa"/>
            <w:vAlign w:val="top"/>
          </w:tcPr>
          <w:p w14:paraId="01695868">
            <w:pPr>
              <w:spacing w:before="188" w:line="211" w:lineRule="auto"/>
              <w:ind w:left="1416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-5"/>
                <w:sz w:val="31"/>
                <w:szCs w:val="31"/>
              </w:rPr>
              <w:t>主讲</w:t>
            </w:r>
          </w:p>
        </w:tc>
      </w:tr>
      <w:tr w14:paraId="44CA7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49" w:type="dxa"/>
            <w:vAlign w:val="center"/>
          </w:tcPr>
          <w:p w14:paraId="34DB3BE7">
            <w:pPr>
              <w:spacing w:before="197" w:line="188" w:lineRule="auto"/>
              <w:ind w:left="140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1</w:t>
            </w:r>
          </w:p>
        </w:tc>
        <w:tc>
          <w:tcPr>
            <w:tcW w:w="4570" w:type="dxa"/>
            <w:vAlign w:val="center"/>
          </w:tcPr>
          <w:p w14:paraId="46420C3C">
            <w:pPr>
              <w:pStyle w:val="8"/>
              <w:spacing w:before="79" w:line="218" w:lineRule="auto"/>
              <w:ind w:left="111"/>
              <w:jc w:val="left"/>
            </w:pPr>
            <w:r>
              <w:rPr>
                <w:spacing w:val="-4"/>
              </w:rPr>
              <w:t>什么是宪法</w:t>
            </w:r>
          </w:p>
        </w:tc>
        <w:tc>
          <w:tcPr>
            <w:tcW w:w="3748" w:type="dxa"/>
            <w:vAlign w:val="center"/>
          </w:tcPr>
          <w:p w14:paraId="2C14CC94">
            <w:pPr>
              <w:pStyle w:val="8"/>
              <w:spacing w:before="79" w:line="218" w:lineRule="auto"/>
              <w:ind w:left="120"/>
              <w:jc w:val="left"/>
            </w:pPr>
            <w:r>
              <w:rPr>
                <w:spacing w:val="-5"/>
              </w:rPr>
              <w:t>焦洪昌，中国政法大学教授</w:t>
            </w:r>
          </w:p>
        </w:tc>
      </w:tr>
      <w:tr w14:paraId="616AB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49" w:type="dxa"/>
            <w:vAlign w:val="center"/>
          </w:tcPr>
          <w:p w14:paraId="4AD3806B">
            <w:pPr>
              <w:spacing w:before="196" w:line="188" w:lineRule="auto"/>
              <w:ind w:left="113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2</w:t>
            </w:r>
          </w:p>
        </w:tc>
        <w:tc>
          <w:tcPr>
            <w:tcW w:w="4570" w:type="dxa"/>
            <w:vAlign w:val="center"/>
          </w:tcPr>
          <w:p w14:paraId="67CBEE03">
            <w:pPr>
              <w:pStyle w:val="8"/>
              <w:spacing w:before="81" w:line="218" w:lineRule="auto"/>
              <w:ind w:left="103"/>
              <w:jc w:val="left"/>
            </w:pPr>
            <w:r>
              <w:rPr>
                <w:spacing w:val="-4"/>
              </w:rPr>
              <w:t>《宪法》的主要内容</w:t>
            </w:r>
          </w:p>
        </w:tc>
        <w:tc>
          <w:tcPr>
            <w:tcW w:w="3748" w:type="dxa"/>
            <w:vAlign w:val="center"/>
          </w:tcPr>
          <w:p w14:paraId="05C26FC9">
            <w:pPr>
              <w:pStyle w:val="8"/>
              <w:spacing w:before="81" w:line="218" w:lineRule="auto"/>
              <w:ind w:left="120"/>
              <w:jc w:val="left"/>
            </w:pPr>
            <w:r>
              <w:rPr>
                <w:spacing w:val="-5"/>
              </w:rPr>
              <w:t>焦洪昌，中国政法大学教授</w:t>
            </w:r>
          </w:p>
        </w:tc>
      </w:tr>
      <w:tr w14:paraId="75CEC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49" w:type="dxa"/>
            <w:vAlign w:val="center"/>
          </w:tcPr>
          <w:p w14:paraId="099C0EC6">
            <w:pPr>
              <w:spacing w:before="195" w:line="188" w:lineRule="auto"/>
              <w:ind w:left="119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3</w:t>
            </w:r>
          </w:p>
        </w:tc>
        <w:tc>
          <w:tcPr>
            <w:tcW w:w="4570" w:type="dxa"/>
            <w:vAlign w:val="center"/>
          </w:tcPr>
          <w:p w14:paraId="4A61F222">
            <w:pPr>
              <w:pStyle w:val="8"/>
              <w:spacing w:before="81" w:line="235" w:lineRule="auto"/>
              <w:ind w:left="124" w:right="88" w:hanging="21"/>
              <w:jc w:val="left"/>
            </w:pPr>
            <w:r>
              <w:rPr>
                <w:spacing w:val="-7"/>
              </w:rPr>
              <w:t>《民法典》人格权编、婚姻家庭编的</w:t>
            </w:r>
            <w:r>
              <w:rPr>
                <w:spacing w:val="-11"/>
              </w:rPr>
              <w:t>亮点</w:t>
            </w:r>
          </w:p>
        </w:tc>
        <w:tc>
          <w:tcPr>
            <w:tcW w:w="3748" w:type="dxa"/>
            <w:vAlign w:val="center"/>
          </w:tcPr>
          <w:p w14:paraId="2556AF2A">
            <w:pPr>
              <w:pStyle w:val="8"/>
              <w:spacing w:before="81" w:line="218" w:lineRule="auto"/>
              <w:ind w:left="129"/>
              <w:jc w:val="left"/>
            </w:pPr>
            <w:r>
              <w:rPr>
                <w:spacing w:val="-6"/>
              </w:rPr>
              <w:t>于飞，中国政法大学教授</w:t>
            </w:r>
          </w:p>
        </w:tc>
      </w:tr>
      <w:tr w14:paraId="5951B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49" w:type="dxa"/>
            <w:vAlign w:val="center"/>
          </w:tcPr>
          <w:p w14:paraId="2D59470B">
            <w:pPr>
              <w:spacing w:before="198" w:line="188" w:lineRule="auto"/>
              <w:ind w:left="112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4</w:t>
            </w:r>
          </w:p>
        </w:tc>
        <w:tc>
          <w:tcPr>
            <w:tcW w:w="4570" w:type="dxa"/>
            <w:vAlign w:val="center"/>
          </w:tcPr>
          <w:p w14:paraId="0945F7C8">
            <w:pPr>
              <w:pStyle w:val="8"/>
              <w:spacing w:before="83" w:line="218" w:lineRule="auto"/>
              <w:ind w:left="129"/>
              <w:jc w:val="left"/>
            </w:pPr>
            <w:r>
              <w:rPr>
                <w:spacing w:val="-6"/>
              </w:rPr>
              <w:t>我国教育法律体系的基本结构</w:t>
            </w:r>
          </w:p>
        </w:tc>
        <w:tc>
          <w:tcPr>
            <w:tcW w:w="3748" w:type="dxa"/>
            <w:vAlign w:val="center"/>
          </w:tcPr>
          <w:p w14:paraId="13A65098">
            <w:pPr>
              <w:pStyle w:val="8"/>
              <w:spacing w:before="83" w:line="218" w:lineRule="auto"/>
              <w:ind w:left="158"/>
              <w:jc w:val="left"/>
            </w:pPr>
            <w:r>
              <w:rPr>
                <w:spacing w:val="-8"/>
              </w:rPr>
              <w:t>申素平，中国人民大学教授</w:t>
            </w:r>
          </w:p>
        </w:tc>
      </w:tr>
      <w:tr w14:paraId="5A3C1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49" w:type="dxa"/>
            <w:vAlign w:val="center"/>
          </w:tcPr>
          <w:p w14:paraId="28678F5E">
            <w:pPr>
              <w:spacing w:before="201" w:line="185" w:lineRule="auto"/>
              <w:ind w:left="121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5</w:t>
            </w:r>
          </w:p>
        </w:tc>
        <w:tc>
          <w:tcPr>
            <w:tcW w:w="4570" w:type="dxa"/>
            <w:vAlign w:val="center"/>
          </w:tcPr>
          <w:p w14:paraId="73FA8925">
            <w:pPr>
              <w:pStyle w:val="8"/>
              <w:spacing w:before="82" w:line="218" w:lineRule="auto"/>
              <w:ind w:left="129"/>
              <w:jc w:val="left"/>
            </w:pPr>
            <w:r>
              <w:rPr>
                <w:spacing w:val="-6"/>
              </w:rPr>
              <w:t>我国教育法律体系的核心内容</w:t>
            </w:r>
          </w:p>
        </w:tc>
        <w:tc>
          <w:tcPr>
            <w:tcW w:w="3748" w:type="dxa"/>
            <w:vAlign w:val="center"/>
          </w:tcPr>
          <w:p w14:paraId="539617B4">
            <w:pPr>
              <w:pStyle w:val="8"/>
              <w:spacing w:before="82" w:line="218" w:lineRule="auto"/>
              <w:ind w:left="158"/>
              <w:jc w:val="left"/>
            </w:pPr>
            <w:r>
              <w:rPr>
                <w:spacing w:val="-8"/>
              </w:rPr>
              <w:t>申素平，中国人民大学教授</w:t>
            </w:r>
          </w:p>
        </w:tc>
      </w:tr>
      <w:tr w14:paraId="6CF91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49" w:type="dxa"/>
            <w:vAlign w:val="center"/>
          </w:tcPr>
          <w:p w14:paraId="3312549B">
            <w:pPr>
              <w:spacing w:before="198" w:line="188" w:lineRule="auto"/>
              <w:ind w:left="119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6</w:t>
            </w:r>
          </w:p>
        </w:tc>
        <w:tc>
          <w:tcPr>
            <w:tcW w:w="4570" w:type="dxa"/>
            <w:vAlign w:val="center"/>
          </w:tcPr>
          <w:p w14:paraId="6F4E2D57">
            <w:pPr>
              <w:pStyle w:val="8"/>
              <w:spacing w:before="82" w:line="217" w:lineRule="auto"/>
              <w:ind w:left="125"/>
              <w:jc w:val="left"/>
            </w:pPr>
            <w:r>
              <w:rPr>
                <w:spacing w:val="-6"/>
              </w:rPr>
              <w:t>高校教职工的权利与义务</w:t>
            </w:r>
          </w:p>
        </w:tc>
        <w:tc>
          <w:tcPr>
            <w:tcW w:w="3748" w:type="dxa"/>
            <w:vAlign w:val="center"/>
          </w:tcPr>
          <w:p w14:paraId="50678192">
            <w:pPr>
              <w:pStyle w:val="8"/>
              <w:spacing w:before="81" w:line="218" w:lineRule="auto"/>
              <w:ind w:left="116"/>
              <w:jc w:val="left"/>
            </w:pPr>
            <w:r>
              <w:rPr>
                <w:spacing w:val="-9"/>
              </w:rPr>
              <w:t>姚金菊，北京外国语大学教授</w:t>
            </w:r>
          </w:p>
        </w:tc>
      </w:tr>
      <w:tr w14:paraId="1B778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449" w:type="dxa"/>
            <w:vAlign w:val="center"/>
          </w:tcPr>
          <w:p w14:paraId="409BE79D">
            <w:pPr>
              <w:spacing w:before="202" w:line="188" w:lineRule="auto"/>
              <w:ind w:left="118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7</w:t>
            </w:r>
          </w:p>
        </w:tc>
        <w:tc>
          <w:tcPr>
            <w:tcW w:w="4570" w:type="dxa"/>
            <w:vAlign w:val="center"/>
          </w:tcPr>
          <w:p w14:paraId="4A6EA431">
            <w:pPr>
              <w:pStyle w:val="8"/>
              <w:spacing w:before="84" w:line="217" w:lineRule="auto"/>
              <w:ind w:left="125"/>
              <w:jc w:val="left"/>
            </w:pPr>
            <w:r>
              <w:rPr>
                <w:spacing w:val="-6"/>
              </w:rPr>
              <w:t>高校教职工法律责任及纠纷解决</w:t>
            </w:r>
          </w:p>
        </w:tc>
        <w:tc>
          <w:tcPr>
            <w:tcW w:w="3748" w:type="dxa"/>
            <w:vAlign w:val="center"/>
          </w:tcPr>
          <w:p w14:paraId="3B76DE56">
            <w:pPr>
              <w:pStyle w:val="8"/>
              <w:spacing w:before="84" w:line="218" w:lineRule="auto"/>
              <w:ind w:left="116"/>
              <w:jc w:val="left"/>
            </w:pPr>
            <w:r>
              <w:rPr>
                <w:spacing w:val="-9"/>
              </w:rPr>
              <w:t>姚金菊，北京外国语大学教授</w:t>
            </w:r>
          </w:p>
        </w:tc>
      </w:tr>
    </w:tbl>
    <w:p w14:paraId="36D1DBDA">
      <w:pPr>
        <w:spacing w:before="185" w:line="211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三、参与步骤</w:t>
      </w:r>
    </w:p>
    <w:p w14:paraId="294C7D27">
      <w:pPr>
        <w:spacing w:before="196" w:line="220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Arial" w:hAnsi="Arial" w:eastAsia="Arial" w:cs="Arial"/>
          <w:sz w:val="31"/>
          <w:szCs w:val="31"/>
        </w:rPr>
        <w:t>1.</w:t>
      </w:r>
      <w:r>
        <w:rPr>
          <w:rFonts w:ascii="仿宋" w:hAnsi="仿宋" w:eastAsia="仿宋" w:cs="仿宋"/>
          <w:sz w:val="31"/>
          <w:szCs w:val="31"/>
        </w:rPr>
        <w:t>在应用商店搜索并下载【快手】</w:t>
      </w:r>
      <w:r>
        <w:rPr>
          <w:rFonts w:ascii="Arial" w:hAnsi="Arial" w:eastAsia="Arial" w:cs="Arial"/>
          <w:sz w:val="31"/>
          <w:szCs w:val="31"/>
        </w:rPr>
        <w:t>App</w:t>
      </w:r>
      <w:r>
        <w:rPr>
          <w:rFonts w:ascii="仿宋" w:hAnsi="仿宋" w:eastAsia="仿宋" w:cs="仿宋"/>
          <w:sz w:val="31"/>
          <w:szCs w:val="31"/>
        </w:rPr>
        <w:t>；</w:t>
      </w:r>
    </w:p>
    <w:p w14:paraId="05C4A44C">
      <w:pPr>
        <w:spacing w:before="190" w:line="309" w:lineRule="auto"/>
        <w:ind w:left="643" w:right="556" w:hanging="6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Arial" w:hAnsi="Arial" w:eastAsia="Arial" w:cs="Arial"/>
          <w:spacing w:val="3"/>
          <w:sz w:val="31"/>
          <w:szCs w:val="31"/>
        </w:rPr>
        <w:t>2.</w:t>
      </w:r>
      <w:r>
        <w:rPr>
          <w:rFonts w:ascii="仿宋" w:hAnsi="仿宋" w:eastAsia="仿宋" w:cs="仿宋"/>
          <w:spacing w:val="3"/>
          <w:sz w:val="31"/>
          <w:szCs w:val="31"/>
        </w:rPr>
        <w:t>打开快手</w:t>
      </w:r>
      <w:r>
        <w:rPr>
          <w:rFonts w:ascii="Arial" w:hAnsi="Arial" w:eastAsia="Arial" w:cs="Arial"/>
          <w:sz w:val="31"/>
          <w:szCs w:val="31"/>
        </w:rPr>
        <w:t>App</w:t>
      </w:r>
      <w:r>
        <w:rPr>
          <w:rFonts w:ascii="仿宋" w:hAnsi="仿宋" w:eastAsia="仿宋" w:cs="仿宋"/>
          <w:spacing w:val="3"/>
          <w:sz w:val="31"/>
          <w:szCs w:val="31"/>
        </w:rPr>
        <w:t>进入首页，点击左上角【三横】图标；</w:t>
      </w:r>
    </w:p>
    <w:p w14:paraId="5D2E4067">
      <w:pPr>
        <w:spacing w:before="190" w:line="309" w:lineRule="auto"/>
        <w:ind w:left="643" w:right="556" w:hanging="6"/>
        <w:rPr>
          <w:rFonts w:ascii="仿宋" w:hAnsi="仿宋" w:eastAsia="仿宋" w:cs="仿宋"/>
          <w:sz w:val="31"/>
          <w:szCs w:val="31"/>
        </w:rPr>
      </w:pPr>
      <w:r>
        <w:rPr>
          <w:rFonts w:ascii="Arial" w:hAnsi="Arial" w:eastAsia="Arial" w:cs="Arial"/>
          <w:spacing w:val="1"/>
          <w:sz w:val="31"/>
          <w:szCs w:val="31"/>
        </w:rPr>
        <w:t>3.</w:t>
      </w:r>
      <w:r>
        <w:rPr>
          <w:rFonts w:ascii="仿宋" w:hAnsi="仿宋" w:eastAsia="仿宋" w:cs="仿宋"/>
          <w:spacing w:val="1"/>
          <w:sz w:val="31"/>
          <w:szCs w:val="31"/>
        </w:rPr>
        <w:t>点击【扫一扫】图标扫描以下二维码进</w:t>
      </w:r>
      <w:r>
        <w:rPr>
          <w:rFonts w:ascii="仿宋" w:hAnsi="仿宋" w:eastAsia="仿宋" w:cs="仿宋"/>
          <w:sz w:val="31"/>
          <w:szCs w:val="31"/>
        </w:rPr>
        <w:t>入活动专题页；</w:t>
      </w:r>
    </w:p>
    <w:p w14:paraId="312874C8">
      <w:pPr>
        <w:spacing w:line="309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7" w:h="16840"/>
          <w:pgMar w:top="1431" w:right="1455" w:bottom="1867" w:left="1531" w:header="0" w:footer="1588" w:gutter="0"/>
          <w:cols w:space="720" w:num="1"/>
        </w:sectPr>
      </w:pPr>
    </w:p>
    <w:p w14:paraId="70686D95">
      <w:pPr>
        <w:spacing w:line="269" w:lineRule="auto"/>
        <w:rPr>
          <w:rFonts w:ascii="Arial"/>
          <w:sz w:val="21"/>
        </w:rPr>
      </w:pPr>
    </w:p>
    <w:p w14:paraId="5193131F">
      <w:pPr>
        <w:spacing w:line="269" w:lineRule="auto"/>
        <w:rPr>
          <w:rFonts w:ascii="Arial"/>
          <w:sz w:val="21"/>
        </w:rPr>
      </w:pPr>
    </w:p>
    <w:p w14:paraId="533C612A">
      <w:pPr>
        <w:spacing w:line="269" w:lineRule="auto"/>
        <w:rPr>
          <w:rFonts w:ascii="Arial"/>
          <w:sz w:val="21"/>
        </w:rPr>
      </w:pPr>
    </w:p>
    <w:p w14:paraId="625F83BE">
      <w:pPr>
        <w:spacing w:line="3670" w:lineRule="exact"/>
        <w:ind w:firstLine="2453"/>
      </w:pPr>
      <w:r>
        <w:rPr>
          <w:position w:val="-73"/>
        </w:rPr>
        <w:drawing>
          <wp:inline distT="0" distB="0" distL="0" distR="0">
            <wp:extent cx="2388235" cy="23304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8400" cy="233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2EF31">
      <w:pPr>
        <w:spacing w:before="178" w:line="222" w:lineRule="auto"/>
        <w:ind w:left="3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（快手二维码）</w:t>
      </w:r>
    </w:p>
    <w:p w14:paraId="59483BE7">
      <w:pPr>
        <w:spacing w:before="185" w:line="318" w:lineRule="auto"/>
        <w:ind w:left="4" w:right="79" w:firstLine="627"/>
        <w:rPr>
          <w:rFonts w:ascii="仿宋" w:hAnsi="仿宋" w:eastAsia="仿宋" w:cs="仿宋"/>
          <w:sz w:val="31"/>
          <w:szCs w:val="31"/>
        </w:rPr>
      </w:pPr>
      <w:r>
        <w:rPr>
          <w:rFonts w:ascii="Arial" w:hAnsi="Arial" w:eastAsia="Arial" w:cs="Arial"/>
          <w:spacing w:val="3"/>
          <w:sz w:val="31"/>
          <w:szCs w:val="31"/>
        </w:rPr>
        <w:t>4.</w:t>
      </w:r>
      <w:r>
        <w:rPr>
          <w:rFonts w:ascii="仿宋" w:hAnsi="仿宋" w:eastAsia="仿宋" w:cs="仿宋"/>
          <w:spacing w:val="3"/>
          <w:sz w:val="31"/>
          <w:szCs w:val="31"/>
        </w:rPr>
        <w:t>关注“全国青少年普法”快手官方账号，预约直播课程，</w:t>
      </w:r>
      <w:r>
        <w:rPr>
          <w:rFonts w:ascii="仿宋" w:hAnsi="仿宋" w:eastAsia="仿宋" w:cs="仿宋"/>
          <w:spacing w:val="5"/>
          <w:sz w:val="31"/>
          <w:szCs w:val="31"/>
        </w:rPr>
        <w:t>根据培训专题页提示时间观看直播课。</w:t>
      </w:r>
    </w:p>
    <w:p w14:paraId="73E60F08">
      <w:pPr>
        <w:spacing w:before="63" w:line="211" w:lineRule="auto"/>
        <w:ind w:left="6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四、结业及证书获取</w:t>
      </w:r>
    </w:p>
    <w:p w14:paraId="05FC6A4E">
      <w:pPr>
        <w:spacing w:before="193" w:line="326" w:lineRule="auto"/>
        <w:ind w:firstLine="658"/>
      </w:pPr>
      <w:r>
        <w:rPr>
          <w:rFonts w:ascii="仿宋" w:hAnsi="仿宋" w:eastAsia="仿宋" w:cs="仿宋"/>
          <w:spacing w:val="7"/>
          <w:sz w:val="31"/>
          <w:szCs w:val="31"/>
        </w:rPr>
        <w:t>学员完成</w:t>
      </w:r>
      <w:r>
        <w:rPr>
          <w:rFonts w:ascii="Arial" w:hAnsi="Arial" w:eastAsia="Arial" w:cs="Arial"/>
          <w:spacing w:val="7"/>
          <w:sz w:val="31"/>
          <w:szCs w:val="31"/>
        </w:rPr>
        <w:t>7</w:t>
      </w:r>
      <w:r>
        <w:rPr>
          <w:rFonts w:ascii="仿宋" w:hAnsi="仿宋" w:eastAsia="仿宋" w:cs="仿宋"/>
          <w:spacing w:val="7"/>
          <w:sz w:val="31"/>
          <w:szCs w:val="31"/>
        </w:rPr>
        <w:t>个课时学习后方可结业，并可在线领取结业证书</w:t>
      </w:r>
      <w:r>
        <w:rPr>
          <w:rFonts w:ascii="仿宋" w:hAnsi="仿宋" w:eastAsia="仿宋" w:cs="仿宋"/>
          <w:spacing w:val="6"/>
          <w:sz w:val="31"/>
          <w:szCs w:val="31"/>
        </w:rPr>
        <w:t>（证书以电子版形式发放，学员可在领取证书页面截图保存或下</w:t>
      </w:r>
      <w:r>
        <w:rPr>
          <w:rFonts w:ascii="仿宋" w:hAnsi="仿宋" w:eastAsia="仿宋" w:cs="仿宋"/>
          <w:spacing w:val="-4"/>
          <w:sz w:val="31"/>
          <w:szCs w:val="31"/>
        </w:rPr>
        <w:t>载。证书领取功能将在所有课程下线后</w:t>
      </w:r>
      <w:r>
        <w:rPr>
          <w:rFonts w:ascii="Arial" w:hAnsi="Arial" w:eastAsia="Arial" w:cs="Arial"/>
          <w:spacing w:val="-4"/>
          <w:sz w:val="31"/>
          <w:szCs w:val="31"/>
        </w:rPr>
        <w:t>10</w:t>
      </w:r>
      <w:r>
        <w:rPr>
          <w:rFonts w:ascii="仿宋" w:hAnsi="仿宋" w:eastAsia="仿宋" w:cs="仿宋"/>
          <w:spacing w:val="-4"/>
          <w:sz w:val="31"/>
          <w:szCs w:val="31"/>
        </w:rPr>
        <w:t>日内关闭，逾期无法领</w:t>
      </w:r>
      <w:r>
        <w:rPr>
          <w:rFonts w:ascii="仿宋" w:hAnsi="仿宋" w:eastAsia="仿宋" w:cs="仿宋"/>
          <w:spacing w:val="5"/>
          <w:sz w:val="31"/>
          <w:szCs w:val="31"/>
        </w:rPr>
        <w:t>取）。</w:t>
      </w: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FEBC9">
    <w:pPr>
      <w:spacing w:before="1" w:line="176" w:lineRule="auto"/>
      <w:ind w:left="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EB235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EB23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6222A">
    <w:pPr>
      <w:spacing w:line="175" w:lineRule="auto"/>
      <w:ind w:right="18"/>
      <w:jc w:val="center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B0C5C"/>
    <w:rsid w:val="511B0C5C"/>
    <w:rsid w:val="7519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587</Characters>
  <Lines>0</Lines>
  <Paragraphs>0</Paragraphs>
  <TotalTime>2</TotalTime>
  <ScaleCrop>false</ScaleCrop>
  <LinksUpToDate>false</LinksUpToDate>
  <CharactersWithSpaces>619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2025-05-19T07:22:00Z</dcterms:created>
  <dc:creator>小胖纸</dc:creator>
  <cp:lastModifiedBy>红</cp:lastModifiedBy>
  <dcterms:modified xsi:type="dcterms:W3CDTF">2025-05-19T08:04:53Z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587CF2EB3ACE41A89DDFEDECA7C8BBB2_11</vt:lpwstr>
  </property>
  <property fmtid="{D5CDD505-2E9C-101B-9397-08002B2CF9AE}" pid="4" name="KSOTemplateDocerSaveRecord">
    <vt:lpwstr>eyJoZGlkIjoiNmI2NzBjNDM5ZjJlYzIwMmI3MDBkMTUzMGIzODIxNTEiLCJ1c2VySWQiOiIxMTQ4MjkxNzg3In0=</vt:lpwstr>
  </property>
</Properties>
</file>